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5D6C2F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5D6C2F">
        <w:rPr>
          <w:rFonts w:ascii="Century Gothic" w:hAnsi="Century Gothic"/>
          <w:color w:val="auto"/>
          <w:sz w:val="28"/>
        </w:rPr>
        <w:t>Policy No. OP8</w:t>
      </w:r>
    </w:p>
    <w:p w:rsidR="00935803" w:rsidRPr="005D6C2F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5D6C2F">
        <w:rPr>
          <w:rFonts w:ascii="Century Gothic" w:hAnsi="Century Gothic"/>
          <w:color w:val="auto"/>
          <w:sz w:val="28"/>
        </w:rPr>
        <w:t>Policy Name: Child Protection Policy</w:t>
      </w:r>
    </w:p>
    <w:p w:rsidR="001574F2" w:rsidRPr="005D6C2F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5D6C2F">
        <w:rPr>
          <w:rFonts w:ascii="Century Gothic" w:hAnsi="Century Gothic"/>
          <w:color w:val="auto"/>
          <w:sz w:val="28"/>
        </w:rPr>
        <w:t xml:space="preserve">Procedures for: </w:t>
      </w:r>
      <w:r w:rsidR="00581849" w:rsidRPr="005D6C2F">
        <w:rPr>
          <w:rFonts w:ascii="Century Gothic" w:hAnsi="Century Gothic"/>
          <w:color w:val="auto"/>
          <w:sz w:val="28"/>
        </w:rPr>
        <w:t>Bullying</w:t>
      </w:r>
    </w:p>
    <w:p w:rsidR="001D572E" w:rsidRPr="005D6C2F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5D6C2F">
        <w:rPr>
          <w:rFonts w:ascii="Century Gothic" w:hAnsi="Century Gothic"/>
          <w:color w:val="auto"/>
          <w:sz w:val="28"/>
        </w:rPr>
        <w:t>Date adopted: 5 March 2018</w:t>
      </w:r>
    </w:p>
    <w:p w:rsidR="00935803" w:rsidRPr="005D6C2F" w:rsidRDefault="00935803" w:rsidP="00935803"/>
    <w:p w:rsidR="00935803" w:rsidRPr="005D6C2F" w:rsidRDefault="00935803" w:rsidP="00935803">
      <w:r w:rsidRPr="005D6C2F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411E6E" wp14:editId="6239313C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A93F3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5D6C2F" w:rsidRDefault="001D572E" w:rsidP="00847CEC">
      <w:pPr>
        <w:rPr>
          <w:rFonts w:ascii="Century Gothic" w:hAnsi="Century Gothic"/>
          <w:sz w:val="28"/>
          <w:szCs w:val="28"/>
        </w:rPr>
      </w:pPr>
      <w:r w:rsidRPr="005D6C2F">
        <w:rPr>
          <w:rFonts w:ascii="Century Gothic" w:hAnsi="Century Gothic"/>
          <w:sz w:val="28"/>
          <w:szCs w:val="28"/>
        </w:rPr>
        <w:t>Purpose</w:t>
      </w:r>
    </w:p>
    <w:p w:rsidR="003059D4" w:rsidRPr="005D6C2F" w:rsidRDefault="001574F2" w:rsidP="00581849">
      <w:pPr>
        <w:rPr>
          <w:rFonts w:ascii="Century Gothic" w:hAnsi="Century Gothic"/>
          <w:sz w:val="24"/>
        </w:rPr>
      </w:pPr>
      <w:r w:rsidRPr="005D6C2F">
        <w:rPr>
          <w:rFonts w:ascii="Century Gothic" w:hAnsi="Century Gothic"/>
          <w:sz w:val="24"/>
        </w:rPr>
        <w:t xml:space="preserve">To </w:t>
      </w:r>
      <w:r w:rsidR="00581849" w:rsidRPr="005D6C2F">
        <w:rPr>
          <w:rFonts w:ascii="Century Gothic" w:hAnsi="Century Gothic"/>
          <w:sz w:val="24"/>
        </w:rPr>
        <w:t xml:space="preserve">eliminate instances of bullying and </w:t>
      </w:r>
      <w:r w:rsidRPr="005D6C2F">
        <w:rPr>
          <w:rFonts w:ascii="Century Gothic" w:hAnsi="Century Gothic"/>
          <w:sz w:val="24"/>
        </w:rPr>
        <w:t xml:space="preserve">provide a safe physical and emotional environment for students and staff. </w:t>
      </w:r>
      <w:r w:rsidR="00581849" w:rsidRPr="005D6C2F">
        <w:rPr>
          <w:rFonts w:ascii="Century Gothic" w:hAnsi="Century Gothic"/>
          <w:sz w:val="24"/>
        </w:rPr>
        <w:t xml:space="preserve">Bullying is deliberate, repeated behaviour that may include hitting, kicking, taking of belongings, name calling, insults, or racist remarks, </w:t>
      </w:r>
      <w:r w:rsidR="00F2062F" w:rsidRPr="005D6C2F">
        <w:rPr>
          <w:rFonts w:ascii="Century Gothic" w:hAnsi="Century Gothic"/>
          <w:sz w:val="24"/>
        </w:rPr>
        <w:t>gossip, social exclusion and also be through the medium of text messages, social media or other online forums.</w:t>
      </w:r>
    </w:p>
    <w:p w:rsidR="005D6C2F" w:rsidRPr="005D6C2F" w:rsidRDefault="005D6C2F" w:rsidP="00581849">
      <w:pPr>
        <w:rPr>
          <w:rFonts w:ascii="Century Gothic" w:hAnsi="Century Gothic"/>
          <w:sz w:val="24"/>
        </w:rPr>
      </w:pPr>
    </w:p>
    <w:p w:rsidR="005D6C2F" w:rsidRPr="005D6C2F" w:rsidRDefault="005D6C2F" w:rsidP="00581849">
      <w:pPr>
        <w:rPr>
          <w:rFonts w:ascii="Century Gothic" w:hAnsi="Century Gothic"/>
          <w:sz w:val="24"/>
        </w:rPr>
      </w:pPr>
      <w:r w:rsidRPr="005D6C2F">
        <w:rPr>
          <w:rFonts w:ascii="Century Gothic" w:hAnsi="Century Gothic"/>
          <w:sz w:val="24"/>
        </w:rPr>
        <w:t>Procedures</w:t>
      </w:r>
    </w:p>
    <w:p w:rsidR="005D6C2F" w:rsidRDefault="005D6C2F" w:rsidP="005D6C2F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</w:rPr>
      </w:pPr>
      <w:r w:rsidRPr="005D6C2F">
        <w:rPr>
          <w:rFonts w:ascii="Century Gothic" w:hAnsi="Century Gothic"/>
          <w:sz w:val="24"/>
        </w:rPr>
        <w:t xml:space="preserve">In the </w:t>
      </w:r>
      <w:r>
        <w:rPr>
          <w:rFonts w:ascii="Century Gothic" w:hAnsi="Century Gothic"/>
          <w:sz w:val="24"/>
        </w:rPr>
        <w:t xml:space="preserve">first instance the student who feels they have been bullied are to say, ‘Stop it, I don’t like it.’ </w:t>
      </w:r>
    </w:p>
    <w:p w:rsidR="005D6C2F" w:rsidRDefault="005D6C2F" w:rsidP="005D6C2F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If the behaviour continues they are to tell a teacher. The teacher should take all recorded instances of bullying seriously and record this on etap.</w:t>
      </w:r>
    </w:p>
    <w:p w:rsidR="005D6C2F" w:rsidRDefault="005D6C2F" w:rsidP="005D6C2F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Staff should listen to the students and receive both accounts to get a clear picture on what has happened. </w:t>
      </w:r>
    </w:p>
    <w:p w:rsidR="005D6C2F" w:rsidRDefault="005D6C2F" w:rsidP="005D6C2F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Students should be affirmed that they have made the right choice by telling a teacher and that it is always important to ‘tell someone’.</w:t>
      </w:r>
    </w:p>
    <w:p w:rsidR="00153BE8" w:rsidRPr="00AD59E4" w:rsidRDefault="005D6C2F" w:rsidP="00C1490B">
      <w:pPr>
        <w:pStyle w:val="ListParagraph"/>
        <w:numPr>
          <w:ilvl w:val="0"/>
          <w:numId w:val="10"/>
        </w:numPr>
        <w:rPr>
          <w:rFonts w:ascii="Century Gothic" w:hAnsi="Century Gothic"/>
          <w:sz w:val="28"/>
          <w:szCs w:val="28"/>
        </w:rPr>
      </w:pPr>
      <w:r w:rsidRPr="005D6C2F">
        <w:rPr>
          <w:rFonts w:ascii="Century Gothic" w:hAnsi="Century Gothic"/>
          <w:sz w:val="24"/>
        </w:rPr>
        <w:t>Matthew will then meet with the students inline with the ‘No Blame Approach’ and follow up with parents or police if necessary.</w:t>
      </w:r>
    </w:p>
    <w:p w:rsidR="00AD59E4" w:rsidRPr="00AD59E4" w:rsidRDefault="00AD59E4" w:rsidP="00C1490B">
      <w:pPr>
        <w:pStyle w:val="ListParagraph"/>
        <w:numPr>
          <w:ilvl w:val="0"/>
          <w:numId w:val="10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4"/>
        </w:rPr>
        <w:t>Parents of all students involved will be notified by either the Principal or other staff member.</w:t>
      </w:r>
    </w:p>
    <w:p w:rsidR="00AD59E4" w:rsidRPr="00AD59E4" w:rsidRDefault="00AD59E4" w:rsidP="00C1490B">
      <w:pPr>
        <w:pStyle w:val="ListParagraph"/>
        <w:numPr>
          <w:ilvl w:val="0"/>
          <w:numId w:val="10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4"/>
        </w:rPr>
        <w:t>Offer students and their whanau the support of the SWiS (Social Worker in Schools).</w:t>
      </w:r>
    </w:p>
    <w:p w:rsidR="00AD59E4" w:rsidRPr="00AD59E4" w:rsidRDefault="00AD59E4" w:rsidP="00C1490B">
      <w:pPr>
        <w:pStyle w:val="ListParagraph"/>
        <w:numPr>
          <w:ilvl w:val="0"/>
          <w:numId w:val="10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4"/>
        </w:rPr>
        <w:t>Annual professional development through staff meetings on creation of inclusive culture, bullying prevention including a focus on racist, transphobic, homophobic bullying, bullying of students with special needs and sexual harassment.</w:t>
      </w:r>
    </w:p>
    <w:p w:rsidR="00AD59E4" w:rsidRPr="005D6C2F" w:rsidRDefault="00AD59E4" w:rsidP="00C1490B">
      <w:pPr>
        <w:pStyle w:val="ListParagraph"/>
        <w:numPr>
          <w:ilvl w:val="0"/>
          <w:numId w:val="10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4"/>
        </w:rPr>
        <w:lastRenderedPageBreak/>
        <w:t>Education for students on online safety and prevention of bullying including through the medium of digital technologies.</w:t>
      </w:r>
    </w:p>
    <w:p w:rsidR="005D6C2F" w:rsidRPr="005D6C2F" w:rsidRDefault="005D6C2F" w:rsidP="005D6C2F">
      <w:pPr>
        <w:pStyle w:val="ListParagraph"/>
        <w:rPr>
          <w:rFonts w:ascii="Century Gothic" w:hAnsi="Century Gothic"/>
          <w:sz w:val="28"/>
          <w:szCs w:val="28"/>
        </w:rPr>
      </w:pPr>
    </w:p>
    <w:p w:rsidR="00153BE8" w:rsidRDefault="00153BE8" w:rsidP="00847CEC">
      <w:pPr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 w:rsidRPr="005D6C2F"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t>Key relevant documents</w:t>
      </w:r>
    </w:p>
    <w:p w:rsidR="004F076B" w:rsidRPr="0038526E" w:rsidRDefault="0038526E" w:rsidP="00847CEC">
      <w:pPr>
        <w:rPr>
          <w:rFonts w:ascii="Century Gothic" w:eastAsia="Times New Roman" w:hAnsi="Century Gothic" w:cstheme="minorHAnsi"/>
          <w:bCs/>
          <w:color w:val="262626" w:themeColor="text1" w:themeTint="D9"/>
          <w:sz w:val="24"/>
          <w:szCs w:val="28"/>
          <w:lang w:eastAsia="en-NZ"/>
        </w:rPr>
      </w:pPr>
      <w:hyperlink r:id="rId8" w:history="1">
        <w:r w:rsidRPr="0038526E">
          <w:rPr>
            <w:rStyle w:val="Hyperlink"/>
            <w:rFonts w:ascii="Century Gothic" w:eastAsia="Times New Roman" w:hAnsi="Century Gothic" w:cstheme="minorHAnsi"/>
            <w:bCs/>
            <w:color w:val="262626" w:themeColor="text1" w:themeTint="D9"/>
            <w:sz w:val="24"/>
            <w:szCs w:val="28"/>
            <w:lang w:eastAsia="en-NZ"/>
          </w:rPr>
          <w:t>https://education.govt.nz/school/student-support/student-wellbeing/health-and-wellbeing/bullying-prevention-and-response/bullying-prevention-and-response-a-guide-for-schools/</w:t>
        </w:r>
      </w:hyperlink>
    </w:p>
    <w:p w:rsidR="0038526E" w:rsidRPr="0038526E" w:rsidRDefault="0038526E" w:rsidP="00847CEC">
      <w:pPr>
        <w:rPr>
          <w:rFonts w:ascii="Century Gothic" w:eastAsia="Times New Roman" w:hAnsi="Century Gothic" w:cstheme="minorHAnsi"/>
          <w:bCs/>
          <w:color w:val="262626" w:themeColor="text1" w:themeTint="D9"/>
          <w:sz w:val="24"/>
          <w:szCs w:val="28"/>
          <w:lang w:eastAsia="en-NZ"/>
        </w:rPr>
      </w:pPr>
      <w:hyperlink r:id="rId9" w:history="1">
        <w:r w:rsidRPr="0038526E">
          <w:rPr>
            <w:rStyle w:val="Hyperlink"/>
            <w:rFonts w:ascii="Century Gothic" w:eastAsia="Times New Roman" w:hAnsi="Century Gothic" w:cstheme="minorHAnsi"/>
            <w:bCs/>
            <w:color w:val="262626" w:themeColor="text1" w:themeTint="D9"/>
            <w:sz w:val="24"/>
            <w:szCs w:val="28"/>
            <w:lang w:eastAsia="en-NZ"/>
          </w:rPr>
          <w:t>http://www.educationcounts.govt.nz/topics/bes/resources/spotlight-on/spotlight-on-counter-bullying-pedagogies</w:t>
        </w:r>
      </w:hyperlink>
    </w:p>
    <w:p w:rsidR="0038526E" w:rsidRPr="0038526E" w:rsidRDefault="0038526E" w:rsidP="00847CEC">
      <w:pPr>
        <w:rPr>
          <w:rFonts w:ascii="Century Gothic" w:eastAsia="Times New Roman" w:hAnsi="Century Gothic" w:cstheme="minorHAnsi"/>
          <w:bCs/>
          <w:color w:val="262626" w:themeColor="text1" w:themeTint="D9"/>
          <w:sz w:val="24"/>
          <w:szCs w:val="28"/>
          <w:lang w:eastAsia="en-NZ"/>
        </w:rPr>
      </w:pPr>
      <w:hyperlink r:id="rId10" w:history="1">
        <w:r w:rsidRPr="0038526E">
          <w:rPr>
            <w:rStyle w:val="Hyperlink"/>
            <w:rFonts w:ascii="Century Gothic" w:eastAsia="Times New Roman" w:hAnsi="Century Gothic" w:cstheme="minorHAnsi"/>
            <w:bCs/>
            <w:color w:val="262626" w:themeColor="text1" w:themeTint="D9"/>
            <w:sz w:val="24"/>
            <w:szCs w:val="28"/>
            <w:lang w:eastAsia="en-NZ"/>
          </w:rPr>
          <w:t>http://www.wellbeingatschool.org.nz/sites/default/files/Wellbeing-at-School-overview-paper.pdf</w:t>
        </w:r>
      </w:hyperlink>
    </w:p>
    <w:p w:rsidR="004F076B" w:rsidRDefault="004F076B" w:rsidP="00847CEC">
      <w:pPr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t>Resources</w:t>
      </w:r>
    </w:p>
    <w:p w:rsidR="004F076B" w:rsidRPr="0038526E" w:rsidRDefault="0038526E" w:rsidP="00847CEC">
      <w:pPr>
        <w:rPr>
          <w:rFonts w:ascii="Century Gothic" w:eastAsia="Times New Roman" w:hAnsi="Century Gothic" w:cstheme="minorHAnsi"/>
          <w:bCs/>
          <w:color w:val="262626" w:themeColor="text1" w:themeTint="D9"/>
          <w:sz w:val="24"/>
          <w:szCs w:val="28"/>
          <w:lang w:eastAsia="en-NZ"/>
        </w:rPr>
      </w:pPr>
      <w:hyperlink r:id="rId11" w:history="1">
        <w:r w:rsidRPr="0038526E">
          <w:rPr>
            <w:rStyle w:val="Hyperlink"/>
            <w:rFonts w:ascii="Century Gothic" w:eastAsia="Times New Roman" w:hAnsi="Century Gothic" w:cstheme="minorHAnsi"/>
            <w:bCs/>
            <w:color w:val="262626" w:themeColor="text1" w:themeTint="D9"/>
            <w:sz w:val="24"/>
            <w:szCs w:val="28"/>
            <w:lang w:eastAsia="en-NZ"/>
          </w:rPr>
          <w:t>https://www.bullyingfree.nz/</w:t>
        </w:r>
      </w:hyperlink>
    </w:p>
    <w:p w:rsidR="0038526E" w:rsidRPr="0038526E" w:rsidRDefault="0038526E" w:rsidP="0038526E">
      <w:pPr>
        <w:rPr>
          <w:rFonts w:ascii="Century Gothic" w:eastAsia="Times New Roman" w:hAnsi="Century Gothic" w:cstheme="minorHAnsi"/>
          <w:bCs/>
          <w:color w:val="262626" w:themeColor="text1" w:themeTint="D9"/>
          <w:sz w:val="24"/>
          <w:szCs w:val="28"/>
          <w:lang w:eastAsia="en-NZ"/>
        </w:rPr>
      </w:pPr>
      <w:hyperlink r:id="rId12" w:history="1">
        <w:r w:rsidRPr="0038526E">
          <w:rPr>
            <w:rStyle w:val="Hyperlink"/>
            <w:rFonts w:ascii="Century Gothic" w:eastAsia="Times New Roman" w:hAnsi="Century Gothic" w:cstheme="minorHAnsi"/>
            <w:bCs/>
            <w:color w:val="262626" w:themeColor="text1" w:themeTint="D9"/>
            <w:sz w:val="24"/>
            <w:szCs w:val="28"/>
            <w:lang w:eastAsia="en-NZ"/>
          </w:rPr>
          <w:t>http://www.hwdsb.on.ca/wp-content/uploads/2015/07/No-Blame-Approach-to-Bullying-BLAM.pdf</w:t>
        </w:r>
      </w:hyperlink>
    </w:p>
    <w:p w:rsidR="0038526E" w:rsidRPr="005D6C2F" w:rsidRDefault="0038526E" w:rsidP="00847CEC">
      <w:pPr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</w:p>
    <w:p w:rsidR="00C83DD8" w:rsidRPr="005D6C2F" w:rsidRDefault="00C83DD8" w:rsidP="00847CEC">
      <w:pPr>
        <w:rPr>
          <w:rFonts w:ascii="Century Gothic" w:eastAsia="Times New Roman" w:hAnsi="Century Gothic" w:cstheme="minorHAnsi"/>
          <w:bCs/>
          <w:sz w:val="20"/>
          <w:szCs w:val="28"/>
          <w:lang w:eastAsia="en-NZ"/>
        </w:rPr>
      </w:pPr>
      <w:bookmarkStart w:id="0" w:name="_GoBack"/>
      <w:bookmarkEnd w:id="0"/>
    </w:p>
    <w:sectPr w:rsidR="00C83DD8" w:rsidRPr="005D6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4F2" w:rsidRDefault="001574F2" w:rsidP="001574F2">
      <w:pPr>
        <w:spacing w:after="0" w:line="240" w:lineRule="auto"/>
      </w:pPr>
      <w:r>
        <w:separator/>
      </w:r>
    </w:p>
  </w:endnote>
  <w:endnote w:type="continuationSeparator" w:id="0">
    <w:p w:rsidR="001574F2" w:rsidRDefault="001574F2" w:rsidP="0015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4F2" w:rsidRDefault="001574F2" w:rsidP="001574F2">
      <w:pPr>
        <w:spacing w:after="0" w:line="240" w:lineRule="auto"/>
      </w:pPr>
      <w:r>
        <w:separator/>
      </w:r>
    </w:p>
  </w:footnote>
  <w:footnote w:type="continuationSeparator" w:id="0">
    <w:p w:rsidR="001574F2" w:rsidRDefault="001574F2" w:rsidP="00157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84A"/>
    <w:multiLevelType w:val="hybridMultilevel"/>
    <w:tmpl w:val="9584558E"/>
    <w:lvl w:ilvl="0" w:tplc="9F76E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352F1AE3"/>
    <w:multiLevelType w:val="hybridMultilevel"/>
    <w:tmpl w:val="780E4046"/>
    <w:lvl w:ilvl="0" w:tplc="9F76EA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1E575E"/>
    <w:multiLevelType w:val="hybridMultilevel"/>
    <w:tmpl w:val="77C07EB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06AE9"/>
    <w:multiLevelType w:val="hybridMultilevel"/>
    <w:tmpl w:val="C2F860FC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9F76EA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B5B1E"/>
    <w:multiLevelType w:val="hybridMultilevel"/>
    <w:tmpl w:val="147094B0"/>
    <w:lvl w:ilvl="0" w:tplc="B40A94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 w15:restartNumberingAfterBreak="0">
    <w:nsid w:val="7B06560D"/>
    <w:multiLevelType w:val="hybridMultilevel"/>
    <w:tmpl w:val="D6BC752A"/>
    <w:lvl w:ilvl="0" w:tplc="9F76E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2E"/>
    <w:rsid w:val="00012D28"/>
    <w:rsid w:val="000920EE"/>
    <w:rsid w:val="00153BE8"/>
    <w:rsid w:val="001574F2"/>
    <w:rsid w:val="001C20E2"/>
    <w:rsid w:val="001D572E"/>
    <w:rsid w:val="001E4161"/>
    <w:rsid w:val="00251806"/>
    <w:rsid w:val="003059D4"/>
    <w:rsid w:val="003755D5"/>
    <w:rsid w:val="003839AE"/>
    <w:rsid w:val="0038526E"/>
    <w:rsid w:val="004F076B"/>
    <w:rsid w:val="0057042A"/>
    <w:rsid w:val="00581849"/>
    <w:rsid w:val="005D6C2F"/>
    <w:rsid w:val="0071315B"/>
    <w:rsid w:val="00811F7B"/>
    <w:rsid w:val="00847CEC"/>
    <w:rsid w:val="00935803"/>
    <w:rsid w:val="009942A3"/>
    <w:rsid w:val="009B18DF"/>
    <w:rsid w:val="00AD59E4"/>
    <w:rsid w:val="00C83DD8"/>
    <w:rsid w:val="00CD2BB1"/>
    <w:rsid w:val="00E52CE6"/>
    <w:rsid w:val="00E9610E"/>
    <w:rsid w:val="00F2062F"/>
    <w:rsid w:val="00F31CD7"/>
    <w:rsid w:val="00F60F29"/>
    <w:rsid w:val="00F9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F0A39"/>
  <w15:docId w15:val="{D392B3EA-8C02-4485-A8FA-EC4409C8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574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74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74F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11F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11F7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11F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govt.nz/school/student-support/student-wellbeing/health-and-wellbeing/bullying-prevention-and-response/bullying-prevention-and-response-a-guide-for-school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wdsb.on.ca/wp-content/uploads/2015/07/No-Blame-Approach-to-Bullying-BLAM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ullyingfree.n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wellbeingatschool.org.nz/sites/default/files/Wellbeing-at-School-overview-pape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cationcounts.govt.nz/topics/bes/resources/spotlight-on/spotlight-on-counter-bullying-pedagogi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835AC-8498-4968-A94A-2D8CF10CD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Matthew Crumpton</dc:creator>
  <cp:lastModifiedBy>Stephanie Priest</cp:lastModifiedBy>
  <cp:revision>3</cp:revision>
  <dcterms:created xsi:type="dcterms:W3CDTF">2018-02-21T01:54:00Z</dcterms:created>
  <dcterms:modified xsi:type="dcterms:W3CDTF">2018-02-21T01:58:00Z</dcterms:modified>
</cp:coreProperties>
</file>