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935803" w:rsidRDefault="00935803" w:rsidP="00935803">
      <w:pPr>
        <w:pStyle w:val="Heading1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935803" w:rsidRDefault="00935803" w:rsidP="00935803">
      <w:pPr>
        <w:pStyle w:val="Heading1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935803">
        <w:rPr>
          <w:rFonts w:ascii="Century Gothic" w:hAnsi="Century Gothic"/>
          <w:color w:val="auto"/>
          <w:sz w:val="28"/>
        </w:rPr>
        <w:t>Child Protection Policy</w:t>
      </w:r>
    </w:p>
    <w:p w:rsidR="00DE79DF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F91518">
        <w:rPr>
          <w:rFonts w:ascii="Century Gothic" w:hAnsi="Century Gothic"/>
          <w:color w:val="auto"/>
          <w:sz w:val="28"/>
        </w:rPr>
        <w:t>Healthy Eating</w:t>
      </w:r>
    </w:p>
    <w:p w:rsidR="001D572E" w:rsidRPr="00935803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>Date adopted:</w:t>
      </w:r>
      <w:r>
        <w:rPr>
          <w:rFonts w:ascii="Century Gothic" w:hAnsi="Century Gothic"/>
          <w:color w:val="1F497D" w:themeColor="text2"/>
          <w:sz w:val="28"/>
        </w:rPr>
        <w:t xml:space="preserve"> </w:t>
      </w:r>
      <w:r>
        <w:rPr>
          <w:rFonts w:ascii="Century Gothic" w:hAnsi="Century Gothic"/>
          <w:color w:val="auto"/>
          <w:sz w:val="28"/>
        </w:rPr>
        <w:t>5 March 2018</w:t>
      </w:r>
    </w:p>
    <w:p w:rsidR="00935803" w:rsidRDefault="00935803" w:rsidP="00935803"/>
    <w:p w:rsidR="00935803" w:rsidRPr="00935803" w:rsidRDefault="00935803" w:rsidP="00935803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B1595" wp14:editId="2A67DBDB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5E65D2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847CEC" w:rsidRDefault="001D572E" w:rsidP="00847CEC">
      <w:pPr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>Purpose</w:t>
      </w:r>
    </w:p>
    <w:p w:rsidR="00DE79DF" w:rsidRPr="00AD24E8" w:rsidRDefault="00AD24E8" w:rsidP="00847CE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To ensure children </w:t>
      </w:r>
      <w:r w:rsidR="00EB22F7">
        <w:rPr>
          <w:rFonts w:ascii="Century Gothic" w:hAnsi="Century Gothic"/>
          <w:sz w:val="24"/>
        </w:rPr>
        <w:t>have adequate nutrition to support their learning and overall health.</w:t>
      </w:r>
    </w:p>
    <w:p w:rsidR="001D572E" w:rsidRPr="00847CEC" w:rsidRDefault="003839AE" w:rsidP="00847CEC">
      <w:pPr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 xml:space="preserve"> </w:t>
      </w:r>
      <w:r w:rsidR="001D572E" w:rsidRPr="00847CEC">
        <w:rPr>
          <w:rFonts w:ascii="Century Gothic" w:hAnsi="Century Gothic"/>
          <w:sz w:val="28"/>
          <w:szCs w:val="28"/>
        </w:rPr>
        <w:t>Procedures</w:t>
      </w:r>
    </w:p>
    <w:p w:rsidR="00AD24E8" w:rsidRDefault="00EB22F7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Children who do not have any food are to go t</w:t>
      </w:r>
      <w:r w:rsidR="00737F98">
        <w:rPr>
          <w:rFonts w:ascii="Century Gothic" w:eastAsia="Times New Roman" w:hAnsi="Century Gothic" w:cs="Times New Roman"/>
          <w:sz w:val="24"/>
          <w:szCs w:val="24"/>
        </w:rPr>
        <w:t>o the office to ask for a snack</w:t>
      </w:r>
    </w:p>
    <w:p w:rsidR="00EB22F7" w:rsidRDefault="00EB22F7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Office staff will give the student a Kids</w:t>
      </w:r>
      <w:r w:rsidR="00D92DCD">
        <w:rPr>
          <w:rFonts w:ascii="Century Gothic" w:eastAsia="Times New Roman" w:hAnsi="Century Gothic" w:cs="Times New Roman"/>
          <w:sz w:val="24"/>
          <w:szCs w:val="24"/>
        </w:rPr>
        <w:t xml:space="preserve"> </w:t>
      </w:r>
      <w:r w:rsidR="00737F98">
        <w:rPr>
          <w:rFonts w:ascii="Century Gothic" w:eastAsia="Times New Roman" w:hAnsi="Century Gothic" w:cs="Times New Roman"/>
          <w:sz w:val="24"/>
          <w:szCs w:val="24"/>
        </w:rPr>
        <w:t>Can snack</w:t>
      </w:r>
      <w:bookmarkStart w:id="0" w:name="_GoBack"/>
      <w:bookmarkEnd w:id="0"/>
    </w:p>
    <w:p w:rsidR="00D92DCD" w:rsidRDefault="00D92DCD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 xml:space="preserve">Office records students who don’t have lunch. Also inquire </w:t>
      </w:r>
      <w:r w:rsidR="00737F98">
        <w:rPr>
          <w:rFonts w:ascii="Century Gothic" w:eastAsia="Times New Roman" w:hAnsi="Century Gothic" w:cs="Times New Roman"/>
          <w:sz w:val="24"/>
          <w:szCs w:val="24"/>
        </w:rPr>
        <w:t>as to why they don’t have lunch</w:t>
      </w:r>
    </w:p>
    <w:p w:rsidR="00D92DCD" w:rsidRDefault="009C0525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Where the students repeatedl</w:t>
      </w:r>
      <w:r w:rsidR="00D92DCD">
        <w:rPr>
          <w:rFonts w:ascii="Century Gothic" w:eastAsia="Times New Roman" w:hAnsi="Century Gothic" w:cs="Times New Roman"/>
          <w:sz w:val="24"/>
          <w:szCs w:val="24"/>
        </w:rPr>
        <w:t xml:space="preserve">y don’t have lunch contact is made with home to ensure students have lunch in the future or to see if the </w:t>
      </w:r>
      <w:r w:rsidR="00737F98">
        <w:rPr>
          <w:rFonts w:ascii="Century Gothic" w:eastAsia="Times New Roman" w:hAnsi="Century Gothic" w:cs="Times New Roman"/>
          <w:sz w:val="24"/>
          <w:szCs w:val="24"/>
        </w:rPr>
        <w:t>family needs further assistance</w:t>
      </w:r>
    </w:p>
    <w:p w:rsidR="00F91518" w:rsidRDefault="00F9151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Water is the only drink permitted for students to bring to school</w:t>
      </w:r>
    </w:p>
    <w:p w:rsidR="00F91518" w:rsidRDefault="00F9151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Milk is given four days a week, where parental consent is given, through the Fonterra Milk in Schools programme</w:t>
      </w:r>
    </w:p>
    <w:p w:rsidR="00F91518" w:rsidRDefault="00F9151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Students are encouraged to bring healthy lunches and to eat their sandwich or main alternative first</w:t>
      </w:r>
    </w:p>
    <w:p w:rsidR="00F91518" w:rsidRDefault="00F9151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Eating times are monitored by rostered classroom teachers and teacher aids</w:t>
      </w:r>
    </w:p>
    <w:p w:rsidR="00F91518" w:rsidRDefault="00F9151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Students remain seated until the bell signalling the end of lunch is rung and the teacher personally dismisses them after raising their hand</w:t>
      </w:r>
    </w:p>
    <w:p w:rsidR="00F91518" w:rsidRDefault="00F9151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Rubbish is to be put in lunch boxes and lunch boxes are to be put away tidily in the designated area</w:t>
      </w:r>
    </w:p>
    <w:p w:rsidR="00737F98" w:rsidRDefault="00737F98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Peanuts and lollies are not to be brought to school</w:t>
      </w:r>
    </w:p>
    <w:p w:rsidR="009C0525" w:rsidRPr="009C0525" w:rsidRDefault="009C0525" w:rsidP="009C0525">
      <w:pPr>
        <w:rPr>
          <w:rFonts w:ascii="Century Gothic" w:eastAsia="Times New Roman" w:hAnsi="Century Gothic" w:cs="Times New Roman"/>
          <w:sz w:val="28"/>
          <w:szCs w:val="24"/>
        </w:rPr>
      </w:pPr>
      <w:r w:rsidRPr="009C0525">
        <w:rPr>
          <w:rFonts w:ascii="Century Gothic" w:eastAsia="Times New Roman" w:hAnsi="Century Gothic" w:cs="Times New Roman"/>
          <w:sz w:val="28"/>
          <w:szCs w:val="24"/>
        </w:rPr>
        <w:t>Key relevant documents</w:t>
      </w:r>
    </w:p>
    <w:p w:rsidR="00DE79DF" w:rsidRPr="009C0525" w:rsidRDefault="009C0525" w:rsidP="009C0525">
      <w:pPr>
        <w:rPr>
          <w:rFonts w:ascii="Century Gothic" w:eastAsia="Times New Roman" w:hAnsi="Century Gothic" w:cs="Times New Roman"/>
          <w:color w:val="262626" w:themeColor="text1" w:themeTint="D9"/>
          <w:sz w:val="24"/>
          <w:szCs w:val="24"/>
        </w:rPr>
      </w:pPr>
      <w:r w:rsidRPr="009C0525">
        <w:rPr>
          <w:rFonts w:ascii="Century Gothic" w:hAnsi="Century Gothic" w:cs="Arial"/>
          <w:color w:val="262626" w:themeColor="text1" w:themeTint="D9"/>
          <w:sz w:val="24"/>
          <w:szCs w:val="24"/>
          <w:shd w:val="clear" w:color="auto" w:fill="FFFFFF"/>
        </w:rPr>
        <w:t>Hunger for learning. Nutritional barriers to children’s education. </w:t>
      </w:r>
      <w:r w:rsidRPr="009C0525">
        <w:rPr>
          <w:rFonts w:ascii="Century Gothic" w:hAnsi="Century Gothic" w:cs="Arial"/>
          <w:color w:val="262626" w:themeColor="text1" w:themeTint="D9"/>
          <w:sz w:val="24"/>
          <w:szCs w:val="24"/>
        </w:rPr>
        <w:br/>
      </w:r>
      <w:r w:rsidRPr="009C0525">
        <w:rPr>
          <w:rFonts w:ascii="Century Gothic" w:hAnsi="Century Gothic" w:cs="Arial"/>
          <w:color w:val="262626" w:themeColor="text1" w:themeTint="D9"/>
          <w:sz w:val="24"/>
          <w:szCs w:val="24"/>
          <w:shd w:val="clear" w:color="auto" w:fill="FFFFFF"/>
        </w:rPr>
        <w:t>Janfrie Wakim and Alan Johnson</w:t>
      </w:r>
      <w:r w:rsidRPr="009C0525">
        <w:rPr>
          <w:rFonts w:ascii="Century Gothic" w:hAnsi="Century Gothic" w:cs="Arial"/>
          <w:color w:val="262626" w:themeColor="text1" w:themeTint="D9"/>
          <w:sz w:val="24"/>
          <w:szCs w:val="24"/>
        </w:rPr>
        <w:br/>
      </w:r>
      <w:r w:rsidRPr="009C0525">
        <w:rPr>
          <w:rFonts w:ascii="Century Gothic" w:hAnsi="Century Gothic" w:cs="Arial"/>
          <w:color w:val="262626" w:themeColor="text1" w:themeTint="D9"/>
          <w:sz w:val="24"/>
          <w:szCs w:val="24"/>
          <w:shd w:val="clear" w:color="auto" w:fill="FFFFFF"/>
        </w:rPr>
        <w:lastRenderedPageBreak/>
        <w:t>ISBN 0-9582263-8-5      © July 2011</w:t>
      </w:r>
      <w:r w:rsidRPr="009C0525">
        <w:rPr>
          <w:rFonts w:ascii="Century Gothic" w:hAnsi="Century Gothic" w:cs="Arial"/>
          <w:color w:val="262626" w:themeColor="text1" w:themeTint="D9"/>
          <w:sz w:val="24"/>
          <w:szCs w:val="24"/>
        </w:rPr>
        <w:br/>
      </w:r>
      <w:r w:rsidRPr="009C0525">
        <w:rPr>
          <w:rFonts w:ascii="Century Gothic" w:hAnsi="Century Gothic" w:cs="Arial"/>
          <w:color w:val="262626" w:themeColor="text1" w:themeTint="D9"/>
          <w:sz w:val="24"/>
          <w:szCs w:val="24"/>
          <w:shd w:val="clear" w:color="auto" w:fill="FFFFFF"/>
        </w:rPr>
        <w:t>Child Poverty Action Group Inc. www.cpag.org.nz</w:t>
      </w:r>
    </w:p>
    <w:sectPr w:rsidR="00DE79DF" w:rsidRPr="009C0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2E"/>
    <w:rsid w:val="00012D28"/>
    <w:rsid w:val="000920EE"/>
    <w:rsid w:val="00153BE8"/>
    <w:rsid w:val="001C20E2"/>
    <w:rsid w:val="001D572E"/>
    <w:rsid w:val="00251806"/>
    <w:rsid w:val="003839AE"/>
    <w:rsid w:val="006F7060"/>
    <w:rsid w:val="00737F98"/>
    <w:rsid w:val="00847CEC"/>
    <w:rsid w:val="00935803"/>
    <w:rsid w:val="009942A3"/>
    <w:rsid w:val="009B18DF"/>
    <w:rsid w:val="009C0525"/>
    <w:rsid w:val="00AD24E8"/>
    <w:rsid w:val="00AF7265"/>
    <w:rsid w:val="00D92DCD"/>
    <w:rsid w:val="00DE79DF"/>
    <w:rsid w:val="00E52CE6"/>
    <w:rsid w:val="00E9610E"/>
    <w:rsid w:val="00EB22F7"/>
    <w:rsid w:val="00F60F29"/>
    <w:rsid w:val="00F91518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A4ED2"/>
  <w15:docId w15:val="{FC29CA45-E539-4F87-9206-027B7CB4E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Crumpton</dc:creator>
  <cp:lastModifiedBy>Stephanie Priest</cp:lastModifiedBy>
  <cp:revision>6</cp:revision>
  <dcterms:created xsi:type="dcterms:W3CDTF">2018-02-26T01:28:00Z</dcterms:created>
  <dcterms:modified xsi:type="dcterms:W3CDTF">2018-03-01T02:41:00Z</dcterms:modified>
</cp:coreProperties>
</file>