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E67C50" w:rsidRDefault="00B26338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>
        <w:rPr>
          <w:rFonts w:ascii="Century Gothic" w:hAnsi="Century Gothic"/>
          <w:color w:val="1F497D" w:themeColor="text2"/>
          <w:sz w:val="28"/>
        </w:rPr>
        <w:t>Policy No. OP3</w:t>
      </w:r>
      <w:bookmarkStart w:id="0" w:name="_GoBack"/>
      <w:bookmarkEnd w:id="0"/>
    </w:p>
    <w:p w:rsidR="00935803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Policy Name: </w:t>
      </w:r>
      <w:r w:rsidR="00B26338">
        <w:rPr>
          <w:rFonts w:ascii="Century Gothic" w:hAnsi="Century Gothic"/>
          <w:color w:val="auto"/>
          <w:sz w:val="28"/>
        </w:rPr>
        <w:t>Appointments</w:t>
      </w:r>
    </w:p>
    <w:p w:rsidR="00DE79DF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B26338">
        <w:rPr>
          <w:rFonts w:ascii="Century Gothic" w:hAnsi="Century Gothic"/>
          <w:color w:val="262626" w:themeColor="text1" w:themeTint="D9"/>
          <w:sz w:val="28"/>
        </w:rPr>
        <w:t>Appointing Staff</w:t>
      </w:r>
    </w:p>
    <w:p w:rsidR="001D572E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Date adopted: </w:t>
      </w:r>
      <w:r w:rsidRPr="00E67C50">
        <w:rPr>
          <w:rFonts w:ascii="Century Gothic" w:hAnsi="Century Gothic"/>
          <w:color w:val="auto"/>
          <w:sz w:val="28"/>
        </w:rPr>
        <w:t>5 March 2018</w:t>
      </w: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  <w:r w:rsidRPr="00E67C50">
        <w:rPr>
          <w:rFonts w:ascii="Century Gothic" w:hAnsi="Century Gothic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B9B06E" wp14:editId="43B25B14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84139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E67C50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Purpose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In order to ensure the very best possible personnel are appointed:</w:t>
      </w:r>
    </w:p>
    <w:p w:rsidR="00B26338" w:rsidRDefault="00B26338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</w:p>
    <w:p w:rsidR="001D572E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Procedures</w:t>
      </w:r>
    </w:p>
    <w:p w:rsidR="00B26338" w:rsidRPr="00B26338" w:rsidRDefault="00B26338" w:rsidP="00B26338">
      <w:p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These appointment procedures will align with the recommendations of the vulnerable children act.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The Principal will be appointed by the Board of Trustees.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 xml:space="preserve">Appointment of the Deputy Principal, </w:t>
      </w:r>
      <w:r>
        <w:rPr>
          <w:rFonts w:ascii="Century Gothic" w:hAnsi="Century Gothic"/>
          <w:sz w:val="24"/>
          <w:szCs w:val="28"/>
        </w:rPr>
        <w:t xml:space="preserve">Associate Principal and </w:t>
      </w:r>
      <w:r w:rsidRPr="00B26338">
        <w:rPr>
          <w:rFonts w:ascii="Century Gothic" w:hAnsi="Century Gothic"/>
          <w:sz w:val="24"/>
          <w:szCs w:val="28"/>
        </w:rPr>
        <w:t xml:space="preserve">Team Leaders will involve an appointment committee consisting of the Principal, the board chairperson and a further trustee (should the board feel the need to include one) 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 xml:space="preserve">Unless determined otherwise by the board, appointment of all other teachers, part time teachers, long </w:t>
      </w:r>
      <w:r>
        <w:rPr>
          <w:rFonts w:ascii="Century Gothic" w:hAnsi="Century Gothic"/>
          <w:sz w:val="24"/>
          <w:szCs w:val="28"/>
        </w:rPr>
        <w:t>term relieving teachers and non-</w:t>
      </w:r>
      <w:r w:rsidRPr="00B26338">
        <w:rPr>
          <w:rFonts w:ascii="Century Gothic" w:hAnsi="Century Gothic"/>
          <w:sz w:val="24"/>
          <w:szCs w:val="28"/>
        </w:rPr>
        <w:t xml:space="preserve">teaching staff will be the responsibility of the </w:t>
      </w:r>
      <w:r>
        <w:rPr>
          <w:rFonts w:ascii="Century Gothic" w:hAnsi="Century Gothic"/>
          <w:sz w:val="24"/>
          <w:szCs w:val="28"/>
        </w:rPr>
        <w:t>P</w:t>
      </w:r>
      <w:r w:rsidRPr="00B26338">
        <w:rPr>
          <w:rFonts w:ascii="Century Gothic" w:hAnsi="Century Gothic"/>
          <w:sz w:val="24"/>
          <w:szCs w:val="28"/>
        </w:rPr>
        <w:t xml:space="preserve">rincipal </w:t>
      </w:r>
      <w:r>
        <w:rPr>
          <w:rFonts w:ascii="Century Gothic" w:hAnsi="Century Gothic"/>
          <w:sz w:val="24"/>
          <w:szCs w:val="28"/>
        </w:rPr>
        <w:t>in consultation with the board C</w:t>
      </w:r>
      <w:r w:rsidRPr="00B26338">
        <w:rPr>
          <w:rFonts w:ascii="Century Gothic" w:hAnsi="Century Gothic"/>
          <w:sz w:val="24"/>
          <w:szCs w:val="28"/>
        </w:rPr>
        <w:t>hairperson or delegate where deemed necessary.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Equal Employment Opportunities will be considered in all appointments.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A job description and/or contract will be prepared for each vacancy.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On appointment, an offer of employment detailing remuneration, hours of work, starting date and tenure will be made.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All teachers will have current New Zealand teacher registration.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All</w:t>
      </w:r>
      <w:r w:rsidRPr="00B26338">
        <w:rPr>
          <w:rFonts w:ascii="Century Gothic" w:hAnsi="Century Gothic"/>
          <w:sz w:val="24"/>
          <w:szCs w:val="28"/>
        </w:rPr>
        <w:t xml:space="preserve"> staff will have Police vetting procedures undertaken.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The background of an applicant’s character, competence, qualifications, and experience is carefully checked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Original or certified documents are properly sighted and certified documents are authenticated by persons authorised to do so.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All staff will be informed of the school’s vision and goals inherent in the charter.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Senior leadership team (SLT) will provide newly appointment staff with robust support and guidance to ensure an easy transition to the school.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Allocation of management units will be at the discretion of the Principal.</w:t>
      </w:r>
      <w:r>
        <w:rPr>
          <w:rFonts w:ascii="Century Gothic" w:hAnsi="Century Gothic"/>
          <w:sz w:val="24"/>
          <w:szCs w:val="28"/>
        </w:rPr>
        <w:t xml:space="preserve"> </w:t>
      </w:r>
      <w:r w:rsidRPr="00B26338">
        <w:rPr>
          <w:rFonts w:ascii="Century Gothic" w:hAnsi="Century Gothic"/>
          <w:sz w:val="24"/>
          <w:szCs w:val="28"/>
        </w:rPr>
        <w:t>However, they will support current strategic planning and be awarded to the appropriate personnel who can support school professional development needs.</w:t>
      </w:r>
    </w:p>
    <w:p w:rsidR="00B26338" w:rsidRPr="00B26338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B26338">
        <w:rPr>
          <w:rFonts w:ascii="Century Gothic" w:hAnsi="Century Gothic"/>
          <w:sz w:val="24"/>
          <w:szCs w:val="28"/>
        </w:rPr>
        <w:t>Unit allocation will be decided at the end of each year in line with strategic and annual planning and in consultation with staff.</w:t>
      </w:r>
    </w:p>
    <w:p w:rsidR="00D121E9" w:rsidRPr="00551131" w:rsidRDefault="00B26338" w:rsidP="00B26338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Teachers are appraised annually against the Practising Teacher Criteria.</w:t>
      </w:r>
    </w:p>
    <w:sectPr w:rsidR="00D121E9" w:rsidRPr="00551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0150"/>
    <w:multiLevelType w:val="hybridMultilevel"/>
    <w:tmpl w:val="E11809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84DBC"/>
    <w:multiLevelType w:val="hybridMultilevel"/>
    <w:tmpl w:val="19DECF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25125AB0"/>
    <w:multiLevelType w:val="hybridMultilevel"/>
    <w:tmpl w:val="B8263F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5FAE"/>
    <w:multiLevelType w:val="hybridMultilevel"/>
    <w:tmpl w:val="50AE9DDC"/>
    <w:lvl w:ilvl="0" w:tplc="AC5CBB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91C12"/>
    <w:multiLevelType w:val="multilevel"/>
    <w:tmpl w:val="0E6E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A4DFB"/>
    <w:multiLevelType w:val="hybridMultilevel"/>
    <w:tmpl w:val="C8C0171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74BEE"/>
    <w:multiLevelType w:val="hybridMultilevel"/>
    <w:tmpl w:val="31C8299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11C6C68">
      <w:numFmt w:val="bullet"/>
      <w:lvlText w:val="–"/>
      <w:lvlJc w:val="left"/>
      <w:pPr>
        <w:ind w:left="1800" w:hanging="360"/>
      </w:pPr>
      <w:rPr>
        <w:rFonts w:ascii="Century Gothic" w:eastAsiaTheme="minorHAnsi" w:hAnsi="Century Gothic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826147"/>
    <w:multiLevelType w:val="hybridMultilevel"/>
    <w:tmpl w:val="4A32CC6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07176"/>
    <w:multiLevelType w:val="hybridMultilevel"/>
    <w:tmpl w:val="98A2EA48"/>
    <w:lvl w:ilvl="0" w:tplc="BD04F8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12F56"/>
    <w:multiLevelType w:val="hybridMultilevel"/>
    <w:tmpl w:val="ACCE03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62BE6D40"/>
    <w:multiLevelType w:val="hybridMultilevel"/>
    <w:tmpl w:val="DB283A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1665D"/>
    <w:multiLevelType w:val="hybridMultilevel"/>
    <w:tmpl w:val="995CE1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11567"/>
    <w:multiLevelType w:val="hybridMultilevel"/>
    <w:tmpl w:val="888E3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E703A"/>
    <w:multiLevelType w:val="hybridMultilevel"/>
    <w:tmpl w:val="3DBE0EC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404010"/>
    <w:multiLevelType w:val="hybridMultilevel"/>
    <w:tmpl w:val="F398B1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16"/>
  </w:num>
  <w:num w:numId="7">
    <w:abstractNumId w:val="17"/>
  </w:num>
  <w:num w:numId="8">
    <w:abstractNumId w:val="19"/>
  </w:num>
  <w:num w:numId="9">
    <w:abstractNumId w:val="12"/>
  </w:num>
  <w:num w:numId="10">
    <w:abstractNumId w:val="5"/>
  </w:num>
  <w:num w:numId="11">
    <w:abstractNumId w:val="13"/>
  </w:num>
  <w:num w:numId="12">
    <w:abstractNumId w:val="20"/>
  </w:num>
  <w:num w:numId="13">
    <w:abstractNumId w:val="4"/>
  </w:num>
  <w:num w:numId="14">
    <w:abstractNumId w:val="6"/>
  </w:num>
  <w:num w:numId="15">
    <w:abstractNumId w:val="15"/>
  </w:num>
  <w:num w:numId="16">
    <w:abstractNumId w:val="18"/>
  </w:num>
  <w:num w:numId="17">
    <w:abstractNumId w:val="0"/>
  </w:num>
  <w:num w:numId="18">
    <w:abstractNumId w:val="1"/>
  </w:num>
  <w:num w:numId="19">
    <w:abstractNumId w:val="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153BE8"/>
    <w:rsid w:val="001C20E2"/>
    <w:rsid w:val="001C7E89"/>
    <w:rsid w:val="001D572E"/>
    <w:rsid w:val="00241F5D"/>
    <w:rsid w:val="00244969"/>
    <w:rsid w:val="00251806"/>
    <w:rsid w:val="00262756"/>
    <w:rsid w:val="00293BCF"/>
    <w:rsid w:val="002B6E43"/>
    <w:rsid w:val="003839AE"/>
    <w:rsid w:val="003F7346"/>
    <w:rsid w:val="0043703F"/>
    <w:rsid w:val="00551131"/>
    <w:rsid w:val="005654EC"/>
    <w:rsid w:val="00580BFB"/>
    <w:rsid w:val="0058416C"/>
    <w:rsid w:val="00687976"/>
    <w:rsid w:val="006F7060"/>
    <w:rsid w:val="00752E57"/>
    <w:rsid w:val="007568D3"/>
    <w:rsid w:val="007E7116"/>
    <w:rsid w:val="0084764F"/>
    <w:rsid w:val="00847CEC"/>
    <w:rsid w:val="0086208C"/>
    <w:rsid w:val="00935803"/>
    <w:rsid w:val="00976588"/>
    <w:rsid w:val="009942A3"/>
    <w:rsid w:val="009A65F9"/>
    <w:rsid w:val="009B18DF"/>
    <w:rsid w:val="00AD24E8"/>
    <w:rsid w:val="00B26338"/>
    <w:rsid w:val="00BA53F1"/>
    <w:rsid w:val="00C0208A"/>
    <w:rsid w:val="00C346B3"/>
    <w:rsid w:val="00D121E9"/>
    <w:rsid w:val="00D3375F"/>
    <w:rsid w:val="00D90730"/>
    <w:rsid w:val="00DE79DF"/>
    <w:rsid w:val="00DF6EFC"/>
    <w:rsid w:val="00E52CE6"/>
    <w:rsid w:val="00E67C50"/>
    <w:rsid w:val="00E71010"/>
    <w:rsid w:val="00E9610E"/>
    <w:rsid w:val="00EA0831"/>
    <w:rsid w:val="00F240B6"/>
    <w:rsid w:val="00F60F29"/>
    <w:rsid w:val="00F93297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B9377"/>
  <w15:docId w15:val="{26C5FC74-67F7-4AAE-A490-A1EE1772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E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Crumpton</dc:creator>
  <cp:lastModifiedBy>Stephanie Priest</cp:lastModifiedBy>
  <cp:revision>2</cp:revision>
  <dcterms:created xsi:type="dcterms:W3CDTF">2018-06-19T01:51:00Z</dcterms:created>
  <dcterms:modified xsi:type="dcterms:W3CDTF">2018-06-19T01:51:00Z</dcterms:modified>
</cp:coreProperties>
</file>